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F1" w:rsidRPr="003C27B2" w:rsidRDefault="00D300F1" w:rsidP="003C27B2">
      <w:pPr>
        <w:spacing w:before="60" w:line="240" w:lineRule="auto"/>
        <w:rPr>
          <w:b/>
        </w:rPr>
      </w:pPr>
      <w:r w:rsidRPr="003C27B2">
        <w:rPr>
          <w:b/>
        </w:rPr>
        <w:t>EHL seiskukohad õpetajakutse väärtustamise ja järelkasvu teemal</w:t>
      </w:r>
    </w:p>
    <w:p w:rsidR="003C27B2" w:rsidRPr="00D300F1" w:rsidRDefault="003C27B2" w:rsidP="003C27B2">
      <w:pPr>
        <w:spacing w:before="60" w:line="240" w:lineRule="auto"/>
      </w:pPr>
    </w:p>
    <w:p w:rsidR="00D300F1" w:rsidRPr="00202BFC" w:rsidRDefault="00D300F1" w:rsidP="003C27B2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Swiss 721" w:hAnsi="Swiss 721"/>
          <w:b/>
        </w:rPr>
      </w:pPr>
      <w:r w:rsidRPr="00202BFC">
        <w:rPr>
          <w:rFonts w:ascii="Swiss 721" w:hAnsi="Swiss 721"/>
          <w:b/>
        </w:rPr>
        <w:t>Töötasu</w:t>
      </w:r>
    </w:p>
    <w:p w:rsidR="003C27B2" w:rsidRPr="003C27B2" w:rsidRDefault="003C27B2" w:rsidP="003C27B2">
      <w:pPr>
        <w:spacing w:before="60" w:line="240" w:lineRule="auto"/>
        <w:rPr>
          <w:u w:val="single"/>
        </w:rPr>
      </w:pPr>
    </w:p>
    <w:p w:rsidR="00D300F1" w:rsidRP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  <w:r w:rsidRPr="00D300F1">
        <w:rPr>
          <w:rFonts w:ascii="Swiss 721" w:hAnsi="Swiss 721"/>
        </w:rPr>
        <w:t>Õpetaja töötasu peab olema vähemalt võrdne teiste kõrharidusega töötajate töötasuga.</w:t>
      </w:r>
    </w:p>
    <w:p w:rsid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  <w:r w:rsidRPr="007802EB">
        <w:rPr>
          <w:rFonts w:ascii="Swiss 721" w:hAnsi="Swiss 721"/>
          <w:b/>
        </w:rPr>
        <w:t>Praegust rahastamismudelit arvetades peab see olema ca 102,5% Eesti riigi keskmisest töötasust</w:t>
      </w:r>
      <w:r w:rsidRPr="00D300F1">
        <w:rPr>
          <w:rFonts w:ascii="Swiss 721" w:hAnsi="Swiss 721"/>
        </w:rPr>
        <w:t xml:space="preserve">. Õpetaja on magistriharidusega spetsialist. </w:t>
      </w:r>
      <w:r w:rsidR="007802EB">
        <w:rPr>
          <w:rFonts w:ascii="Swiss 721" w:hAnsi="Swiss 721"/>
        </w:rPr>
        <w:br/>
      </w:r>
      <w:r w:rsidR="007802EB">
        <w:rPr>
          <w:rFonts w:ascii="Swiss 721" w:hAnsi="Swiss 721"/>
        </w:rPr>
        <w:br/>
        <w:t>Tabelis: p</w:t>
      </w:r>
      <w:r w:rsidRPr="00D300F1">
        <w:rPr>
          <w:rFonts w:ascii="Swiss 721" w:hAnsi="Swiss 721"/>
        </w:rPr>
        <w:t>raegu ja prognoositult järgmisel neljal aast</w:t>
      </w:r>
      <w:r w:rsidR="007802EB">
        <w:rPr>
          <w:rFonts w:ascii="Swiss 721" w:hAnsi="Swiss 721"/>
        </w:rPr>
        <w:t>al õpetajate töötasud võrdluses riigi keskmise kõrgharidust eeldatava töötasuga</w:t>
      </w:r>
    </w:p>
    <w:p w:rsidR="00D300F1" w:rsidRP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177"/>
        <w:gridCol w:w="1177"/>
        <w:gridCol w:w="1066"/>
        <w:gridCol w:w="1177"/>
        <w:gridCol w:w="954"/>
        <w:gridCol w:w="1066"/>
        <w:gridCol w:w="1064"/>
      </w:tblGrid>
      <w:tr w:rsidR="00D300F1" w:rsidRPr="00D300F1" w:rsidTr="00D300F1">
        <w:trPr>
          <w:cantSplit/>
          <w:trHeight w:val="264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b/>
                <w:bCs/>
                <w:color w:val="000000"/>
                <w:lang w:eastAsia="et-EE"/>
              </w:rPr>
              <w:t>Aasta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b/>
                <w:bCs/>
                <w:color w:val="000000"/>
                <w:lang w:eastAsia="et-EE"/>
              </w:rPr>
              <w:t>Riigi keskmine töötasu (</w:t>
            </w:r>
            <w:r w:rsidRPr="00D300F1">
              <w:rPr>
                <w:rFonts w:ascii="Courier New" w:eastAsia="Times New Roman" w:hAnsi="Courier New" w:cs="Courier New"/>
                <w:b/>
                <w:bCs/>
                <w:color w:val="000000"/>
                <w:lang w:eastAsia="et-EE"/>
              </w:rPr>
              <w:t>€</w:t>
            </w:r>
            <w:r w:rsidRPr="00D300F1">
              <w:rPr>
                <w:rFonts w:eastAsia="Times New Roman" w:cs="Arial"/>
                <w:b/>
                <w:bCs/>
                <w:color w:val="000000"/>
                <w:lang w:eastAsia="et-EE"/>
              </w:rPr>
              <w:t>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b/>
                <w:bCs/>
                <w:color w:val="000000"/>
                <w:lang w:eastAsia="et-EE"/>
              </w:rPr>
              <w:t>Õpetaja töötasu alammäär (</w:t>
            </w:r>
            <w:r w:rsidRPr="00D300F1">
              <w:rPr>
                <w:rFonts w:ascii="Courier New" w:eastAsia="Times New Roman" w:hAnsi="Courier New" w:cs="Courier New"/>
                <w:b/>
                <w:bCs/>
                <w:color w:val="000000"/>
                <w:lang w:eastAsia="et-EE"/>
              </w:rPr>
              <w:t>€</w:t>
            </w:r>
            <w:r w:rsidRPr="00D300F1">
              <w:rPr>
                <w:rFonts w:eastAsia="Times New Roman" w:cs="Arial"/>
                <w:b/>
                <w:bCs/>
                <w:color w:val="000000"/>
                <w:lang w:eastAsia="et-EE"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b/>
                <w:bCs/>
                <w:color w:val="000000"/>
                <w:lang w:eastAsia="et-EE"/>
              </w:rPr>
              <w:t>Õpetaja töötasu alammäära suhe riigi keskmisse töötasusse (%)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b/>
                <w:bCs/>
                <w:color w:val="000000"/>
                <w:lang w:eastAsia="et-EE"/>
              </w:rPr>
              <w:t>Õpetaja arvestuslik keskmine töötasu* (</w:t>
            </w:r>
            <w:r w:rsidRPr="00D300F1">
              <w:rPr>
                <w:rFonts w:ascii="Courier New" w:eastAsia="Times New Roman" w:hAnsi="Courier New" w:cs="Courier New"/>
                <w:b/>
                <w:bCs/>
                <w:color w:val="000000"/>
                <w:lang w:eastAsia="et-EE"/>
              </w:rPr>
              <w:t>€</w:t>
            </w:r>
            <w:r w:rsidRPr="00D300F1">
              <w:rPr>
                <w:rFonts w:eastAsia="Times New Roman" w:cs="Arial"/>
                <w:b/>
                <w:bCs/>
                <w:color w:val="000000"/>
                <w:lang w:eastAsia="et-EE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b/>
                <w:bCs/>
                <w:color w:val="000000"/>
                <w:lang w:eastAsia="et-EE"/>
              </w:rPr>
              <w:t>Õpetaja keskmise töötasu suhe riigi keskmisse töötasusse (%)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b/>
                <w:bCs/>
                <w:color w:val="000000"/>
                <w:lang w:eastAsia="et-EE"/>
              </w:rPr>
              <w:t>Kõrgharidusega töötajate keskmise töötasuga võrreldes (%)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b/>
                <w:bCs/>
                <w:color w:val="000000"/>
                <w:lang w:eastAsia="et-EE"/>
              </w:rPr>
              <w:t>Õpetaja töötasu alammäära suhe kõrgharidusega töötajate keskmisse tötasusse (%)</w:t>
            </w:r>
          </w:p>
        </w:tc>
      </w:tr>
      <w:tr w:rsidR="00D300F1" w:rsidRPr="00D300F1" w:rsidTr="00D300F1">
        <w:trPr>
          <w:trHeight w:val="288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2018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1314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1150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87,5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1380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105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87,5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72,9</w:t>
            </w:r>
          </w:p>
        </w:tc>
      </w:tr>
      <w:tr w:rsidR="00D300F1" w:rsidRPr="00D300F1" w:rsidTr="00D300F1">
        <w:trPr>
          <w:trHeight w:val="288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2019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1407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1250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88,8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1500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107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88,8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74,0</w:t>
            </w:r>
          </w:p>
        </w:tc>
      </w:tr>
      <w:tr w:rsidR="00D300F1" w:rsidRPr="00D300F1" w:rsidTr="00D300F1">
        <w:trPr>
          <w:trHeight w:val="288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2020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1422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1315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92,4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1540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108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90,2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77,0</w:t>
            </w:r>
          </w:p>
        </w:tc>
      </w:tr>
      <w:tr w:rsidR="00D300F1" w:rsidRPr="00D300F1" w:rsidTr="00D300F1">
        <w:trPr>
          <w:trHeight w:val="288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2021*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1428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1315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92,1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1540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108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89,9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76,7</w:t>
            </w:r>
          </w:p>
        </w:tc>
      </w:tr>
      <w:tr w:rsidR="00D300F1" w:rsidRPr="00D300F1" w:rsidTr="00D300F1">
        <w:trPr>
          <w:trHeight w:val="288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2022*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1492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1315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88,1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1540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103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86,0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73,4</w:t>
            </w:r>
          </w:p>
        </w:tc>
      </w:tr>
      <w:tr w:rsidR="00D300F1" w:rsidRPr="00D300F1" w:rsidTr="00D300F1">
        <w:trPr>
          <w:trHeight w:val="288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2023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1564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1315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84,1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1540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98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82,0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70,1</w:t>
            </w:r>
          </w:p>
        </w:tc>
      </w:tr>
      <w:tr w:rsidR="00D300F1" w:rsidRPr="00D300F1" w:rsidTr="00D300F1">
        <w:trPr>
          <w:trHeight w:val="288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2024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1625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1315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303030"/>
                <w:lang w:eastAsia="et-EE"/>
              </w:rPr>
            </w:pPr>
            <w:r w:rsidRPr="00D300F1">
              <w:rPr>
                <w:rFonts w:eastAsia="Times New Roman" w:cs="Arial"/>
                <w:color w:val="303030"/>
                <w:lang w:eastAsia="et-EE"/>
              </w:rPr>
              <w:t>80,9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1540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Arial"/>
                <w:color w:val="000000"/>
                <w:lang w:eastAsia="et-EE"/>
              </w:rPr>
            </w:pPr>
            <w:r w:rsidRPr="00D300F1">
              <w:rPr>
                <w:rFonts w:eastAsia="Times New Roman" w:cs="Arial"/>
                <w:color w:val="000000"/>
                <w:lang w:eastAsia="et-EE"/>
              </w:rPr>
              <w:t>95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79,0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F1" w:rsidRPr="00D300F1" w:rsidRDefault="00D300F1" w:rsidP="003C27B2">
            <w:pPr>
              <w:spacing w:before="60" w:line="240" w:lineRule="auto"/>
              <w:jc w:val="center"/>
              <w:rPr>
                <w:rFonts w:eastAsia="Times New Roman" w:cs="Calibri"/>
                <w:color w:val="000000"/>
                <w:lang w:eastAsia="et-EE"/>
              </w:rPr>
            </w:pPr>
            <w:r w:rsidRPr="00D300F1">
              <w:rPr>
                <w:rFonts w:eastAsia="Times New Roman" w:cs="Calibri"/>
                <w:color w:val="000000"/>
                <w:lang w:eastAsia="et-EE"/>
              </w:rPr>
              <w:t>67,4</w:t>
            </w:r>
          </w:p>
        </w:tc>
      </w:tr>
    </w:tbl>
    <w:p w:rsidR="00D300F1" w:rsidRP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</w:p>
    <w:p w:rsidR="00D300F1" w:rsidRP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  <w:r w:rsidRPr="00D300F1">
        <w:rPr>
          <w:rFonts w:ascii="Swiss 721" w:hAnsi="Swiss 721"/>
        </w:rPr>
        <w:t>Vastavalt rahvusvahelisele h</w:t>
      </w:r>
      <w:r>
        <w:rPr>
          <w:rFonts w:ascii="Swiss 721" w:hAnsi="Swiss 721"/>
        </w:rPr>
        <w:t>aridusuuringule Education at a G</w:t>
      </w:r>
      <w:r w:rsidRPr="00D300F1">
        <w:rPr>
          <w:rFonts w:ascii="Swiss 721" w:hAnsi="Swiss 721"/>
        </w:rPr>
        <w:t xml:space="preserve">lance 2020 olid 2019. aastal </w:t>
      </w:r>
      <w:r w:rsidRPr="007802EB">
        <w:rPr>
          <w:rFonts w:ascii="Swiss 721" w:hAnsi="Swiss 721"/>
          <w:b/>
        </w:rPr>
        <w:t>Eesti õpetajate töötasud arvetades ostujõudu nii Euroopa Liidu kui ka OECD riikide õpetajate töötasudega võrreldes peaaegu kõige madalamad</w:t>
      </w:r>
      <w:r>
        <w:rPr>
          <w:rFonts w:ascii="Swiss 721" w:hAnsi="Swiss 721"/>
        </w:rPr>
        <w:t>. Viimasel kohal on küll</w:t>
      </w:r>
      <w:r w:rsidRPr="00D300F1">
        <w:rPr>
          <w:rFonts w:ascii="Swiss 721" w:hAnsi="Swiss 721"/>
        </w:rPr>
        <w:t xml:space="preserve"> Läti, kuid arvestades, et Lätis õpetajate tööatsu</w:t>
      </w:r>
      <w:r>
        <w:rPr>
          <w:rFonts w:ascii="Swiss 721" w:hAnsi="Swiss 721"/>
        </w:rPr>
        <w:t>d järgmisel aastal tõusevad,</w:t>
      </w:r>
      <w:r w:rsidRPr="00D300F1">
        <w:rPr>
          <w:rFonts w:ascii="Swiss 721" w:hAnsi="Swiss 721"/>
        </w:rPr>
        <w:t xml:space="preserve"> on oht, et Eesti hõivab viimase koha. </w:t>
      </w:r>
      <w:r>
        <w:rPr>
          <w:rFonts w:ascii="Swiss 721" w:hAnsi="Swiss 721"/>
        </w:rPr>
        <w:t xml:space="preserve">Oleme </w:t>
      </w:r>
      <w:r w:rsidRPr="00D300F1">
        <w:rPr>
          <w:rFonts w:ascii="Swiss 721" w:hAnsi="Swiss 721"/>
        </w:rPr>
        <w:t>PISA tulemuste järg</w:t>
      </w:r>
      <w:r>
        <w:rPr>
          <w:rFonts w:ascii="Swiss 721" w:hAnsi="Swiss 721"/>
        </w:rPr>
        <w:t>i hariduse tasemelt tippriik</w:t>
      </w:r>
      <w:r w:rsidRPr="00D300F1">
        <w:rPr>
          <w:rFonts w:ascii="Swiss 721" w:hAnsi="Swiss 721"/>
        </w:rPr>
        <w:t>, kuid palgatasemelt viimaste hulgas</w:t>
      </w:r>
      <w:r>
        <w:rPr>
          <w:rFonts w:ascii="Swiss 721" w:hAnsi="Swiss 721"/>
        </w:rPr>
        <w:t>.</w:t>
      </w:r>
    </w:p>
    <w:p w:rsidR="00D300F1" w:rsidRP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</w:p>
    <w:p w:rsidR="00D300F1" w:rsidRP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  <w:r w:rsidRPr="00D300F1">
        <w:rPr>
          <w:rFonts w:ascii="Swiss 721" w:hAnsi="Swiss 721"/>
        </w:rPr>
        <w:t>Education at a glance 2020 toob välja Eesti ühena negatiivsetest näidetest, kellel oli viimastel aastatel (2012 -2017)</w:t>
      </w:r>
      <w:r>
        <w:rPr>
          <w:rFonts w:ascii="Swiss 721" w:hAnsi="Swiss 721"/>
        </w:rPr>
        <w:t xml:space="preserve"> </w:t>
      </w:r>
      <w:r w:rsidRPr="00D300F1">
        <w:rPr>
          <w:rFonts w:ascii="Swiss 721" w:hAnsi="Swiss 721"/>
        </w:rPr>
        <w:t>valitsemissekt</w:t>
      </w:r>
      <w:r>
        <w:rPr>
          <w:rFonts w:ascii="Swiss 721" w:hAnsi="Swiss 721"/>
        </w:rPr>
        <w:t>ori kogukulude suhteline kasv</w:t>
      </w:r>
      <w:r w:rsidRPr="00D300F1">
        <w:rPr>
          <w:rFonts w:ascii="Swiss 721" w:hAnsi="Swiss 721"/>
        </w:rPr>
        <w:t xml:space="preserve"> üle 8 protsendipunkti suurem kui riiklike hariduskulude kasv</w:t>
      </w:r>
      <w:r w:rsidRPr="007802EB">
        <w:rPr>
          <w:rFonts w:ascii="Swiss 721" w:hAnsi="Swiss 721"/>
          <w:b/>
        </w:rPr>
        <w:t>. Sellest tulenevalt on meie hariduskulude osakaal SKP-st langenud alla Euroopa Liidu ja OECD keskmiste</w:t>
      </w:r>
      <w:r>
        <w:rPr>
          <w:rFonts w:ascii="Swiss 721" w:hAnsi="Swiss 721"/>
        </w:rPr>
        <w:t>,</w:t>
      </w:r>
      <w:r w:rsidRPr="00D300F1">
        <w:rPr>
          <w:rFonts w:ascii="Swiss 721" w:hAnsi="Swiss 721"/>
        </w:rPr>
        <w:t xml:space="preserve"> </w:t>
      </w:r>
      <w:r w:rsidRPr="007802EB">
        <w:rPr>
          <w:rFonts w:ascii="Swiss 721" w:hAnsi="Swiss 721"/>
          <w:b/>
        </w:rPr>
        <w:t>moodustades ainult ca 4,5% SKP-st</w:t>
      </w:r>
      <w:r w:rsidRPr="00D300F1">
        <w:rPr>
          <w:rFonts w:ascii="Swiss 721" w:hAnsi="Swiss 721"/>
        </w:rPr>
        <w:t>. Siinkohal ilmselt ei saa rääkida hariduse prioretiseerimisest.</w:t>
      </w:r>
      <w:r w:rsidR="003C27B2">
        <w:rPr>
          <w:rFonts w:ascii="Swiss 721" w:hAnsi="Swiss 721"/>
        </w:rPr>
        <w:t xml:space="preserve"> Võrdluseks: Uus-</w:t>
      </w:r>
      <w:r w:rsidRPr="00D300F1">
        <w:rPr>
          <w:rFonts w:ascii="Swiss 721" w:hAnsi="Swiss 721"/>
        </w:rPr>
        <w:t>Meremaal on vatav näitaja ca 6,5%</w:t>
      </w:r>
      <w:r w:rsidR="003C27B2">
        <w:rPr>
          <w:rFonts w:ascii="Swiss 721" w:hAnsi="Swiss 721"/>
        </w:rPr>
        <w:t>.</w:t>
      </w:r>
    </w:p>
    <w:p w:rsid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</w:p>
    <w:p w:rsidR="003C27B2" w:rsidRPr="00D300F1" w:rsidRDefault="003C27B2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</w:p>
    <w:p w:rsidR="00D300F1" w:rsidRPr="00202BFC" w:rsidRDefault="003C27B2" w:rsidP="003C27B2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Swiss 721" w:hAnsi="Swiss 721"/>
          <w:b/>
        </w:rPr>
      </w:pPr>
      <w:r w:rsidRPr="00202BFC">
        <w:rPr>
          <w:rFonts w:ascii="Swiss 721" w:hAnsi="Swiss 721"/>
          <w:b/>
        </w:rPr>
        <w:t>Töökoormus</w:t>
      </w:r>
    </w:p>
    <w:p w:rsidR="003C27B2" w:rsidRPr="003C27B2" w:rsidRDefault="003C27B2" w:rsidP="003C27B2">
      <w:pPr>
        <w:spacing w:before="60" w:line="240" w:lineRule="auto"/>
        <w:rPr>
          <w:u w:val="single"/>
        </w:rPr>
      </w:pPr>
    </w:p>
    <w:p w:rsidR="007802EB" w:rsidRPr="007802EB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  <w:b/>
        </w:rPr>
      </w:pPr>
      <w:r w:rsidRPr="007802EB">
        <w:rPr>
          <w:rFonts w:ascii="Swiss 721" w:hAnsi="Swiss 721"/>
          <w:b/>
        </w:rPr>
        <w:t>Õpetaja tööaeg on seaduse järgi 35 tundi nädalas, kui</w:t>
      </w:r>
      <w:r w:rsidR="003C27B2" w:rsidRPr="007802EB">
        <w:rPr>
          <w:rFonts w:ascii="Swiss 721" w:hAnsi="Swiss 721"/>
          <w:b/>
        </w:rPr>
        <w:t>d</w:t>
      </w:r>
      <w:r w:rsidRPr="007802EB">
        <w:rPr>
          <w:rFonts w:ascii="Swiss 721" w:hAnsi="Swiss 721"/>
          <w:b/>
        </w:rPr>
        <w:t xml:space="preserve"> reaalsuses on see keskmiselt üle 45 tunni nädalas, mis on peaaegu 1/3 võrra seadusega sätestatust suurem.</w:t>
      </w:r>
      <w:r w:rsidRPr="00D300F1">
        <w:rPr>
          <w:rFonts w:ascii="Swiss 721" w:hAnsi="Swiss 721"/>
        </w:rPr>
        <w:t xml:space="preserve"> Selline olukord ei ole jätkusuutlik. </w:t>
      </w:r>
      <w:r w:rsidR="003C27B2">
        <w:rPr>
          <w:rFonts w:ascii="Swiss 721" w:hAnsi="Swiss 721"/>
        </w:rPr>
        <w:t>Leida tuleb</w:t>
      </w:r>
      <w:r w:rsidRPr="00D300F1">
        <w:rPr>
          <w:rFonts w:ascii="Swiss 721" w:hAnsi="Swiss 721"/>
        </w:rPr>
        <w:t xml:space="preserve"> lahendusi</w:t>
      </w:r>
      <w:r w:rsidR="003C27B2">
        <w:rPr>
          <w:rFonts w:ascii="Swiss 721" w:hAnsi="Swiss 721"/>
        </w:rPr>
        <w:t>,</w:t>
      </w:r>
      <w:r w:rsidRPr="00D300F1">
        <w:rPr>
          <w:rFonts w:ascii="Swiss 721" w:hAnsi="Swiss 721"/>
        </w:rPr>
        <w:t xml:space="preserve"> kasutades tänaseid oskusi ja teadmisi ka digitehnoloogia kasutamiseks õppetöös ning praegu </w:t>
      </w:r>
      <w:r w:rsidR="003C27B2">
        <w:rPr>
          <w:rFonts w:ascii="Swiss 721" w:hAnsi="Swiss 721"/>
        </w:rPr>
        <w:t>taaskord</w:t>
      </w:r>
      <w:r w:rsidRPr="00D300F1">
        <w:rPr>
          <w:rFonts w:ascii="Swiss 721" w:hAnsi="Swiss 721"/>
        </w:rPr>
        <w:t xml:space="preserve"> ümbertegemisel </w:t>
      </w:r>
      <w:r w:rsidR="003C27B2">
        <w:rPr>
          <w:rFonts w:ascii="Swiss 721" w:hAnsi="Swiss 721"/>
        </w:rPr>
        <w:t>(</w:t>
      </w:r>
      <w:r w:rsidRPr="00D300F1">
        <w:rPr>
          <w:rFonts w:ascii="Swiss 721" w:hAnsi="Swiss 721"/>
        </w:rPr>
        <w:t>kaasajastamisel</w:t>
      </w:r>
      <w:r w:rsidR="003C27B2">
        <w:rPr>
          <w:rFonts w:ascii="Swiss 721" w:hAnsi="Swiss 721"/>
        </w:rPr>
        <w:t>)</w:t>
      </w:r>
      <w:r w:rsidRPr="00D300F1">
        <w:rPr>
          <w:rFonts w:ascii="Swiss 721" w:hAnsi="Swiss 721"/>
        </w:rPr>
        <w:t xml:space="preserve"> olevates õppekavades tuleb samuti sellega arvestada. Me peame liikuma individuaalsema lähenemise poole õpetamises, kuid see ei tohi tähendada õpetajate töökoormuse</w:t>
      </w:r>
      <w:r>
        <w:rPr>
          <w:rFonts w:ascii="Swiss 721" w:hAnsi="Swiss 721"/>
        </w:rPr>
        <w:t xml:space="preserve"> </w:t>
      </w:r>
      <w:r w:rsidRPr="00D300F1">
        <w:rPr>
          <w:rFonts w:ascii="Swiss 721" w:hAnsi="Swiss 721"/>
        </w:rPr>
        <w:lastRenderedPageBreak/>
        <w:t xml:space="preserve">tõusu, vaid </w:t>
      </w:r>
      <w:bookmarkStart w:id="0" w:name="_GoBack"/>
      <w:r w:rsidRPr="007802EB">
        <w:rPr>
          <w:rFonts w:ascii="Swiss 721" w:hAnsi="Swiss 721"/>
          <w:b/>
        </w:rPr>
        <w:t>peame leidma võimalusi viia õpetaj</w:t>
      </w:r>
      <w:r w:rsidR="003C27B2" w:rsidRPr="007802EB">
        <w:rPr>
          <w:rFonts w:ascii="Swiss 721" w:hAnsi="Swiss 721"/>
          <w:b/>
        </w:rPr>
        <w:t>a töökoormus vastavusse seadusega –</w:t>
      </w:r>
      <w:r w:rsidRPr="007802EB">
        <w:rPr>
          <w:rFonts w:ascii="Swiss 721" w:hAnsi="Swiss 721"/>
          <w:b/>
        </w:rPr>
        <w:t xml:space="preserve"> ka see on aspekt, mis m</w:t>
      </w:r>
      <w:r w:rsidR="003C27B2" w:rsidRPr="007802EB">
        <w:rPr>
          <w:rFonts w:ascii="Swiss 721" w:hAnsi="Swiss 721"/>
          <w:b/>
        </w:rPr>
        <w:t>eelitab/ei meelita noori kooli.</w:t>
      </w:r>
    </w:p>
    <w:p w:rsidR="00D300F1" w:rsidRPr="007802EB" w:rsidRDefault="007802EB" w:rsidP="003C27B2">
      <w:pPr>
        <w:pStyle w:val="ListParagraph"/>
        <w:spacing w:before="60" w:after="60" w:line="240" w:lineRule="auto"/>
        <w:ind w:left="0"/>
        <w:rPr>
          <w:rFonts w:ascii="Swiss 721" w:hAnsi="Swiss 721"/>
          <w:b/>
        </w:rPr>
      </w:pPr>
      <w:r w:rsidRPr="007802EB">
        <w:rPr>
          <w:rFonts w:ascii="Swiss 721" w:hAnsi="Swiss 721"/>
          <w:b/>
        </w:rPr>
        <w:br/>
      </w:r>
    </w:p>
    <w:bookmarkEnd w:id="0"/>
    <w:p w:rsidR="00D300F1" w:rsidRPr="00202BFC" w:rsidRDefault="00D300F1" w:rsidP="003C27B2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Swiss 721" w:hAnsi="Swiss 721"/>
          <w:b/>
        </w:rPr>
      </w:pPr>
      <w:r w:rsidRPr="00202BFC">
        <w:rPr>
          <w:rFonts w:ascii="Swiss 721" w:hAnsi="Swiss 721"/>
          <w:b/>
        </w:rPr>
        <w:t>Vanuseline struktuur</w:t>
      </w:r>
    </w:p>
    <w:p w:rsidR="00D300F1" w:rsidRDefault="007802EB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  <w:r>
        <w:rPr>
          <w:rFonts w:ascii="Swiss 721" w:hAnsi="Swiss 721"/>
          <w:u w:val="single"/>
        </w:rPr>
        <w:br/>
      </w:r>
      <w:r w:rsidR="00D300F1" w:rsidRPr="00D300F1">
        <w:rPr>
          <w:rFonts w:ascii="Swiss 721" w:hAnsi="Swiss 721"/>
        </w:rPr>
        <w:t xml:space="preserve">Eesti õpetajaskond vananeb ja õpetajaskonna pealekasv on liiga väike. </w:t>
      </w:r>
      <w:r w:rsidR="00D300F1" w:rsidRPr="007802EB">
        <w:rPr>
          <w:rFonts w:ascii="Swiss 721" w:hAnsi="Swiss 721"/>
          <w:b/>
        </w:rPr>
        <w:t>Peaaegu 3500 õpetajat on 60 aastat ja vanemad. Samas on meil</w:t>
      </w:r>
      <w:r w:rsidR="003C27B2" w:rsidRPr="007802EB">
        <w:rPr>
          <w:rFonts w:ascii="Swiss 721" w:hAnsi="Swiss 721"/>
          <w:b/>
        </w:rPr>
        <w:t xml:space="preserve"> alla 30 aastaseid õpetajaid al</w:t>
      </w:r>
      <w:r w:rsidR="00D300F1" w:rsidRPr="007802EB">
        <w:rPr>
          <w:rFonts w:ascii="Swiss 721" w:hAnsi="Swiss 721"/>
          <w:b/>
        </w:rPr>
        <w:t>l</w:t>
      </w:r>
      <w:r w:rsidR="003C27B2" w:rsidRPr="007802EB">
        <w:rPr>
          <w:rFonts w:ascii="Swiss 721" w:hAnsi="Swiss 721"/>
          <w:b/>
        </w:rPr>
        <w:t>a</w:t>
      </w:r>
      <w:r w:rsidR="00D300F1" w:rsidRPr="007802EB">
        <w:rPr>
          <w:rFonts w:ascii="Swiss 721" w:hAnsi="Swiss 721"/>
          <w:b/>
        </w:rPr>
        <w:t xml:space="preserve"> 1500</w:t>
      </w:r>
      <w:r w:rsidR="00D300F1" w:rsidRPr="00D300F1">
        <w:rPr>
          <w:rFonts w:ascii="Swiss 721" w:hAnsi="Swiss 721"/>
        </w:rPr>
        <w:t>. Õpetajate juurdekasv on selgelt lii</w:t>
      </w:r>
      <w:r w:rsidR="003C27B2">
        <w:rPr>
          <w:rFonts w:ascii="Swiss 721" w:hAnsi="Swiss 721"/>
        </w:rPr>
        <w:t>ga vähene ja seetõttu s</w:t>
      </w:r>
      <w:r w:rsidR="00D300F1" w:rsidRPr="00D300F1">
        <w:rPr>
          <w:rFonts w:ascii="Swiss 721" w:hAnsi="Swiss 721"/>
        </w:rPr>
        <w:t>uureneb</w:t>
      </w:r>
      <w:r w:rsidR="003C27B2">
        <w:rPr>
          <w:rFonts w:ascii="Swiss 721" w:hAnsi="Swiss 721"/>
        </w:rPr>
        <w:t xml:space="preserve"> üha enam</w:t>
      </w:r>
      <w:r w:rsidR="00D300F1" w:rsidRPr="00D300F1">
        <w:rPr>
          <w:rFonts w:ascii="Swiss 721" w:hAnsi="Swiss 721"/>
        </w:rPr>
        <w:t xml:space="preserve"> 50+ vanuserühma õ</w:t>
      </w:r>
      <w:r w:rsidR="003C27B2">
        <w:rPr>
          <w:rFonts w:ascii="Swiss 721" w:hAnsi="Swiss 721"/>
        </w:rPr>
        <w:t>petajate osakaal õpetajaskonnas.</w:t>
      </w:r>
      <w:r w:rsidR="00D300F1" w:rsidRPr="00D300F1">
        <w:rPr>
          <w:rFonts w:ascii="Swiss 721" w:hAnsi="Swiss 721"/>
        </w:rPr>
        <w:t xml:space="preserve"> Ja seda isegi</w:t>
      </w:r>
      <w:r w:rsidR="003C27B2">
        <w:rPr>
          <w:rFonts w:ascii="Swiss 721" w:hAnsi="Swiss 721"/>
        </w:rPr>
        <w:t xml:space="preserve"> </w:t>
      </w:r>
      <w:r w:rsidR="00D300F1" w:rsidRPr="00D300F1">
        <w:rPr>
          <w:rFonts w:ascii="Swiss 721" w:hAnsi="Swiss 721"/>
        </w:rPr>
        <w:t>hoolimata sellest, et meil on viimastel aastatel õpetajate ko</w:t>
      </w:r>
      <w:r w:rsidR="003C27B2">
        <w:rPr>
          <w:rFonts w:ascii="Swiss 721" w:hAnsi="Swiss 721"/>
        </w:rPr>
        <w:t>guarv suurenenud 2015./16. õppeaastal14400-</w:t>
      </w:r>
      <w:r w:rsidR="00D300F1" w:rsidRPr="00D300F1">
        <w:rPr>
          <w:rFonts w:ascii="Swiss 721" w:hAnsi="Swiss 721"/>
        </w:rPr>
        <w:t xml:space="preserve">lt </w:t>
      </w:r>
      <w:r w:rsidR="003C27B2">
        <w:rPr>
          <w:rFonts w:ascii="Swiss 721" w:hAnsi="Swiss 721"/>
        </w:rPr>
        <w:t>20</w:t>
      </w:r>
      <w:r w:rsidR="00D300F1" w:rsidRPr="00D300F1">
        <w:rPr>
          <w:rFonts w:ascii="Swiss 721" w:hAnsi="Swiss 721"/>
        </w:rPr>
        <w:t>19</w:t>
      </w:r>
      <w:r w:rsidR="003C27B2">
        <w:rPr>
          <w:rFonts w:ascii="Swiss 721" w:hAnsi="Swiss 721"/>
        </w:rPr>
        <w:t>.</w:t>
      </w:r>
      <w:r w:rsidR="00D300F1" w:rsidRPr="00D300F1">
        <w:rPr>
          <w:rFonts w:ascii="Swiss 721" w:hAnsi="Swiss 721"/>
        </w:rPr>
        <w:t>/20</w:t>
      </w:r>
      <w:r w:rsidR="003C27B2">
        <w:rPr>
          <w:rFonts w:ascii="Swiss 721" w:hAnsi="Swiss 721"/>
        </w:rPr>
        <w:t>.</w:t>
      </w:r>
      <w:r w:rsidR="00D300F1" w:rsidRPr="00D300F1">
        <w:rPr>
          <w:rFonts w:ascii="Swiss 721" w:hAnsi="Swiss 721"/>
        </w:rPr>
        <w:t xml:space="preserve"> õa</w:t>
      </w:r>
      <w:r w:rsidR="003C27B2">
        <w:rPr>
          <w:rFonts w:ascii="Swiss 721" w:hAnsi="Swiss 721"/>
        </w:rPr>
        <w:t>-l</w:t>
      </w:r>
      <w:r w:rsidR="00D300F1" w:rsidRPr="00D300F1">
        <w:rPr>
          <w:rFonts w:ascii="Swiss 721" w:hAnsi="Swiss 721"/>
        </w:rPr>
        <w:t xml:space="preserve"> 15800-ni, kuid</w:t>
      </w:r>
      <w:r w:rsidR="00D300F1">
        <w:rPr>
          <w:rFonts w:ascii="Swiss 721" w:hAnsi="Swiss 721"/>
        </w:rPr>
        <w:t xml:space="preserve"> </w:t>
      </w:r>
      <w:r w:rsidR="00D300F1" w:rsidRPr="00D300F1">
        <w:rPr>
          <w:rFonts w:ascii="Swiss 721" w:hAnsi="Swiss 721"/>
        </w:rPr>
        <w:t xml:space="preserve">50+ õpetajate osamäär </w:t>
      </w:r>
      <w:r w:rsidR="003C27B2">
        <w:rPr>
          <w:rFonts w:ascii="Swiss 721" w:hAnsi="Swiss 721"/>
        </w:rPr>
        <w:t xml:space="preserve">suurenes </w:t>
      </w:r>
      <w:r w:rsidR="00D300F1" w:rsidRPr="00D300F1">
        <w:rPr>
          <w:rFonts w:ascii="Swiss 721" w:hAnsi="Swiss 721"/>
        </w:rPr>
        <w:t>samal</w:t>
      </w:r>
      <w:r w:rsidR="003C27B2">
        <w:rPr>
          <w:rFonts w:ascii="Swiss 721" w:hAnsi="Swiss 721"/>
        </w:rPr>
        <w:t xml:space="preserve"> ajal 43%</w:t>
      </w:r>
      <w:r w:rsidR="00D300F1" w:rsidRPr="00D300F1">
        <w:rPr>
          <w:rFonts w:ascii="Swiss 721" w:hAnsi="Swiss 721"/>
        </w:rPr>
        <w:t>-lt</w:t>
      </w:r>
      <w:r w:rsidR="003C27B2">
        <w:rPr>
          <w:rFonts w:ascii="Swiss 721" w:hAnsi="Swiss 721"/>
        </w:rPr>
        <w:t xml:space="preserve"> enam kui 50%-ni ehk </w:t>
      </w:r>
      <w:r w:rsidR="00D300F1" w:rsidRPr="00D300F1">
        <w:rPr>
          <w:rFonts w:ascii="Swiss 721" w:hAnsi="Swiss 721"/>
        </w:rPr>
        <w:t>1/6 võrra. Probleem pole mitte õp</w:t>
      </w:r>
      <w:r w:rsidR="003C27B2">
        <w:rPr>
          <w:rFonts w:ascii="Swiss 721" w:hAnsi="Swiss 721"/>
        </w:rPr>
        <w:t>etajate vanuses – paljud vanema</w:t>
      </w:r>
      <w:r w:rsidR="00D300F1" w:rsidRPr="00D300F1">
        <w:rPr>
          <w:rFonts w:ascii="Swiss 721" w:hAnsi="Swiss 721"/>
        </w:rPr>
        <w:t>ealised õpetajad teevad väga head tööd, kuid pro</w:t>
      </w:r>
      <w:r w:rsidR="003C27B2">
        <w:rPr>
          <w:rFonts w:ascii="Swiss 721" w:hAnsi="Swiss 721"/>
        </w:rPr>
        <w:t>bleem on õpetajate järelkasvus.</w:t>
      </w:r>
    </w:p>
    <w:p w:rsidR="003C27B2" w:rsidRPr="00D300F1" w:rsidRDefault="003C27B2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</w:p>
    <w:p w:rsidR="00D300F1" w:rsidRP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  <w:r w:rsidRPr="00D300F1">
        <w:rPr>
          <w:rFonts w:ascii="Swiss 721" w:hAnsi="Swiss 721"/>
        </w:rPr>
        <w:t>Meil on Eestis ca 16</w:t>
      </w:r>
      <w:r w:rsidRPr="00D300F1">
        <w:rPr>
          <w:rFonts w:ascii="Calibri" w:hAnsi="Calibri" w:cs="Calibri"/>
        </w:rPr>
        <w:t> </w:t>
      </w:r>
      <w:r w:rsidRPr="00D300F1">
        <w:rPr>
          <w:rFonts w:ascii="Swiss 721" w:hAnsi="Swiss 721"/>
        </w:rPr>
        <w:t xml:space="preserve">000 </w:t>
      </w:r>
      <w:r w:rsidRPr="00D300F1">
        <w:rPr>
          <w:rFonts w:ascii="Swiss 721" w:hAnsi="Swiss 721" w:cs="Swiss 721"/>
        </w:rPr>
        <w:t>õ</w:t>
      </w:r>
      <w:r w:rsidRPr="00D300F1">
        <w:rPr>
          <w:rFonts w:ascii="Swiss 721" w:hAnsi="Swiss 721"/>
        </w:rPr>
        <w:t>petajat</w:t>
      </w:r>
      <w:r w:rsidR="003C27B2">
        <w:rPr>
          <w:rFonts w:ascii="Swiss 721" w:hAnsi="Swiss 721"/>
        </w:rPr>
        <w:t>. E</w:t>
      </w:r>
      <w:r w:rsidRPr="00D300F1">
        <w:rPr>
          <w:rFonts w:ascii="Swiss 721" w:hAnsi="Swiss 721"/>
        </w:rPr>
        <w:t xml:space="preserve">eldades, et </w:t>
      </w:r>
      <w:r w:rsidRPr="00D300F1">
        <w:rPr>
          <w:rFonts w:ascii="Swiss 721" w:hAnsi="Swiss 721" w:cs="Swiss 721"/>
        </w:rPr>
        <w:t>õ</w:t>
      </w:r>
      <w:r w:rsidRPr="00D300F1">
        <w:rPr>
          <w:rFonts w:ascii="Swiss 721" w:hAnsi="Swiss 721"/>
        </w:rPr>
        <w:t>petaja töötab 40 aastat</w:t>
      </w:r>
      <w:r w:rsidR="003C27B2">
        <w:rPr>
          <w:rFonts w:ascii="Swiss 721" w:hAnsi="Swiss 721"/>
        </w:rPr>
        <w:t>,</w:t>
      </w:r>
      <w:r w:rsidRPr="00D300F1">
        <w:rPr>
          <w:rFonts w:ascii="Swiss 721" w:hAnsi="Swiss 721"/>
        </w:rPr>
        <w:t xml:space="preserve"> oleks meil vaja ainuüksi üldhariduskoolidesse igal aastal 400 uut õpetajat</w:t>
      </w:r>
      <w:r w:rsidR="003C27B2">
        <w:rPr>
          <w:rFonts w:ascii="Swiss 721" w:hAnsi="Swiss 721"/>
        </w:rPr>
        <w:t>, kes jäävad 40-</w:t>
      </w:r>
      <w:r w:rsidRPr="00D300F1">
        <w:rPr>
          <w:rFonts w:ascii="Swiss 721" w:hAnsi="Swiss 721"/>
        </w:rPr>
        <w:t>aastaks ametisse. Selge on see, et kõik ei jää nii kauaks</w:t>
      </w:r>
      <w:r w:rsidR="003C27B2" w:rsidRPr="007802EB">
        <w:rPr>
          <w:rFonts w:ascii="Swiss 721" w:hAnsi="Swiss 721"/>
          <w:b/>
        </w:rPr>
        <w:t>. R</w:t>
      </w:r>
      <w:r w:rsidRPr="007802EB">
        <w:rPr>
          <w:rFonts w:ascii="Swiss 721" w:hAnsi="Swiss 721"/>
          <w:b/>
        </w:rPr>
        <w:t xml:space="preserve">eaalsus on, et pea pooled õpetajad lahkuvad juba peale </w:t>
      </w:r>
      <w:r w:rsidR="003C27B2" w:rsidRPr="007802EB">
        <w:rPr>
          <w:rFonts w:ascii="Swiss 721" w:hAnsi="Swiss 721"/>
          <w:b/>
        </w:rPr>
        <w:t>esimesi aastaid</w:t>
      </w:r>
      <w:r w:rsidRPr="007802EB">
        <w:rPr>
          <w:rFonts w:ascii="Swiss 721" w:hAnsi="Swiss 721"/>
          <w:b/>
        </w:rPr>
        <w:t xml:space="preserve"> koolis töötamist. Seega oleks vaja igal aastal kooli ca 800 uut õpetajat</w:t>
      </w:r>
      <w:r w:rsidRPr="00D300F1">
        <w:rPr>
          <w:rFonts w:ascii="Swiss 721" w:hAnsi="Swiss 721"/>
        </w:rPr>
        <w:t>. Paraku on see a</w:t>
      </w:r>
      <w:r w:rsidR="003C27B2">
        <w:rPr>
          <w:rFonts w:ascii="Swiss 721" w:hAnsi="Swiss 721"/>
        </w:rPr>
        <w:t>rv oluliselt väiksem praegu</w:t>
      </w:r>
      <w:r w:rsidRPr="00D300F1">
        <w:rPr>
          <w:rFonts w:ascii="Swiss 721" w:hAnsi="Swiss 721"/>
        </w:rPr>
        <w:t>.</w:t>
      </w:r>
      <w:r w:rsidR="003C27B2">
        <w:rPr>
          <w:rFonts w:ascii="Swiss 721" w:hAnsi="Swiss 721"/>
        </w:rPr>
        <w:t xml:space="preserve"> See oleks tava</w:t>
      </w:r>
      <w:r w:rsidRPr="00D300F1">
        <w:rPr>
          <w:rFonts w:ascii="Swiss 721" w:hAnsi="Swiss 721"/>
        </w:rPr>
        <w:t>olukorras, kui meie õpetajate</w:t>
      </w:r>
      <w:r>
        <w:rPr>
          <w:rFonts w:ascii="Swiss 721" w:hAnsi="Swiss 721"/>
        </w:rPr>
        <w:t xml:space="preserve"> </w:t>
      </w:r>
      <w:r w:rsidRPr="00D300F1">
        <w:rPr>
          <w:rFonts w:ascii="Swiss 721" w:hAnsi="Swiss 721"/>
        </w:rPr>
        <w:t>vanuselist s</w:t>
      </w:r>
      <w:r w:rsidR="003C27B2">
        <w:rPr>
          <w:rFonts w:ascii="Swiss 721" w:hAnsi="Swiss 721"/>
        </w:rPr>
        <w:t>truktuuri arvestades, kus üle 60</w:t>
      </w:r>
      <w:r w:rsidRPr="00D300F1">
        <w:rPr>
          <w:rFonts w:ascii="Swiss 721" w:hAnsi="Swiss 721"/>
        </w:rPr>
        <w:t xml:space="preserve"> aastaseid on ca 3500. Ja kui need kõik lahkuvad 5 aasta jooksul, siis on meil vaja peaaegu kaks korda rohkem uusi õpetajaid kui nö tavaolukorras</w:t>
      </w:r>
      <w:r w:rsidR="003C27B2">
        <w:rPr>
          <w:rFonts w:ascii="Swiss 721" w:hAnsi="Swiss 721"/>
        </w:rPr>
        <w:t>.</w:t>
      </w:r>
    </w:p>
    <w:p w:rsidR="00D300F1" w:rsidRP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  <w:r w:rsidRPr="00D300F1">
        <w:rPr>
          <w:rFonts w:ascii="Swiss 721" w:hAnsi="Swiss 721"/>
        </w:rPr>
        <w:t xml:space="preserve"> </w:t>
      </w:r>
    </w:p>
    <w:p w:rsidR="00D300F1" w:rsidRPr="00D300F1" w:rsidRDefault="00D300F1" w:rsidP="003C27B2">
      <w:pPr>
        <w:spacing w:before="60" w:line="240" w:lineRule="auto"/>
      </w:pPr>
      <w:r w:rsidRPr="00D300F1">
        <w:rPr>
          <w:noProof/>
          <w:lang w:val="en-US"/>
        </w:rPr>
        <w:drawing>
          <wp:inline distT="0" distB="0" distL="0" distR="0" wp14:anchorId="0E76CC47" wp14:editId="7E877AFC">
            <wp:extent cx="6035040" cy="3044190"/>
            <wp:effectExtent l="0" t="0" r="381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27B2" w:rsidRDefault="003C27B2" w:rsidP="003C27B2">
      <w:pPr>
        <w:pStyle w:val="ListParagraph"/>
        <w:spacing w:before="60" w:after="60" w:line="240" w:lineRule="auto"/>
        <w:ind w:left="360"/>
        <w:rPr>
          <w:rFonts w:ascii="Swiss 721" w:hAnsi="Swiss 721"/>
        </w:rPr>
      </w:pPr>
    </w:p>
    <w:p w:rsidR="00453A04" w:rsidRDefault="00453A04" w:rsidP="003C27B2">
      <w:pPr>
        <w:pStyle w:val="ListParagraph"/>
        <w:spacing w:before="60" w:after="60" w:line="240" w:lineRule="auto"/>
        <w:ind w:left="360"/>
        <w:rPr>
          <w:rFonts w:ascii="Swiss 721" w:hAnsi="Swiss 721"/>
        </w:rPr>
      </w:pPr>
    </w:p>
    <w:p w:rsidR="003C27B2" w:rsidRPr="00202BFC" w:rsidRDefault="003C27B2" w:rsidP="003C27B2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Swiss 721" w:hAnsi="Swiss 721"/>
          <w:b/>
        </w:rPr>
      </w:pPr>
      <w:r w:rsidRPr="00202BFC">
        <w:rPr>
          <w:rFonts w:ascii="Swiss 721" w:hAnsi="Swiss 721"/>
          <w:b/>
        </w:rPr>
        <w:t>Õpetajate kooli jäämine</w:t>
      </w:r>
    </w:p>
    <w:p w:rsidR="003C27B2" w:rsidRPr="003C27B2" w:rsidRDefault="003C27B2" w:rsidP="003C27B2">
      <w:pPr>
        <w:spacing w:before="60" w:line="240" w:lineRule="auto"/>
        <w:rPr>
          <w:u w:val="single"/>
        </w:rPr>
      </w:pPr>
    </w:p>
    <w:p w:rsidR="00D300F1" w:rsidRP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  <w:r w:rsidRPr="00D300F1">
        <w:rPr>
          <w:rFonts w:ascii="Swiss 721" w:hAnsi="Swiss 721"/>
        </w:rPr>
        <w:t>Kui õpetaja on jõudnud kooli tööle, siis nagu eespool mainitud sai</w:t>
      </w:r>
      <w:r w:rsidR="00453A04">
        <w:rPr>
          <w:rFonts w:ascii="Swiss 721" w:hAnsi="Swiss 721"/>
        </w:rPr>
        <w:t>, ei püis</w:t>
      </w:r>
      <w:r w:rsidRPr="00D300F1">
        <w:rPr>
          <w:rFonts w:ascii="Swiss 721" w:hAnsi="Swiss 721"/>
        </w:rPr>
        <w:t xml:space="preserve"> paljud ametis.</w:t>
      </w:r>
    </w:p>
    <w:p w:rsidR="00D300F1" w:rsidRP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  <w:r w:rsidRPr="00D300F1">
        <w:rPr>
          <w:rFonts w:ascii="Swiss 721" w:hAnsi="Swiss 721"/>
        </w:rPr>
        <w:t xml:space="preserve">Miks? Põhjuseid on </w:t>
      </w:r>
      <w:r w:rsidR="00453A04">
        <w:rPr>
          <w:rFonts w:ascii="Swiss 721" w:hAnsi="Swiss 721"/>
        </w:rPr>
        <w:t>i</w:t>
      </w:r>
      <w:r w:rsidR="007802EB">
        <w:rPr>
          <w:rFonts w:ascii="Swiss 721" w:hAnsi="Swiss 721"/>
        </w:rPr>
        <w:t>l</w:t>
      </w:r>
      <w:r w:rsidR="00453A04">
        <w:rPr>
          <w:rFonts w:ascii="Swiss 721" w:hAnsi="Swiss 721"/>
        </w:rPr>
        <w:t>mselt mitu:</w:t>
      </w:r>
    </w:p>
    <w:p w:rsidR="00D300F1" w:rsidRPr="00D300F1" w:rsidRDefault="00453A04" w:rsidP="003C27B2">
      <w:pPr>
        <w:pStyle w:val="ListParagraph"/>
        <w:numPr>
          <w:ilvl w:val="0"/>
          <w:numId w:val="2"/>
        </w:numPr>
        <w:spacing w:before="60" w:after="60" w:line="240" w:lineRule="auto"/>
        <w:ind w:left="360"/>
        <w:rPr>
          <w:rFonts w:ascii="Swiss 721" w:hAnsi="Swiss 721"/>
        </w:rPr>
      </w:pPr>
      <w:r>
        <w:rPr>
          <w:rFonts w:ascii="Swiss 721" w:hAnsi="Swiss 721"/>
        </w:rPr>
        <w:t>Töötasu</w:t>
      </w:r>
      <w:r w:rsidR="00D300F1" w:rsidRPr="00D300F1">
        <w:rPr>
          <w:rFonts w:ascii="Swiss 721" w:hAnsi="Swiss 721"/>
        </w:rPr>
        <w:t xml:space="preserve"> – peab</w:t>
      </w:r>
      <w:r>
        <w:rPr>
          <w:rFonts w:ascii="Swiss 721" w:hAnsi="Swiss 721"/>
        </w:rPr>
        <w:t xml:space="preserve"> olema konkurentsivõimeline nag</w:t>
      </w:r>
      <w:r w:rsidR="00D300F1" w:rsidRPr="00D300F1">
        <w:rPr>
          <w:rFonts w:ascii="Swiss 721" w:hAnsi="Swiss 721"/>
        </w:rPr>
        <w:t xml:space="preserve">u esimeses punktis sai </w:t>
      </w:r>
      <w:r>
        <w:rPr>
          <w:rFonts w:ascii="Swiss 721" w:hAnsi="Swiss 721"/>
        </w:rPr>
        <w:t>välja toodud.</w:t>
      </w:r>
    </w:p>
    <w:p w:rsidR="00D300F1" w:rsidRPr="00D300F1" w:rsidRDefault="00D300F1" w:rsidP="003C27B2">
      <w:pPr>
        <w:pStyle w:val="ListParagraph"/>
        <w:numPr>
          <w:ilvl w:val="0"/>
          <w:numId w:val="2"/>
        </w:numPr>
        <w:spacing w:before="60" w:after="60" w:line="240" w:lineRule="auto"/>
        <w:ind w:left="360"/>
        <w:rPr>
          <w:rFonts w:ascii="Swiss 721" w:hAnsi="Swiss 721"/>
        </w:rPr>
      </w:pPr>
      <w:r w:rsidRPr="00D300F1">
        <w:rPr>
          <w:rFonts w:ascii="Swiss 721" w:hAnsi="Swiss 721"/>
        </w:rPr>
        <w:t>Juhtimiskultuur ja</w:t>
      </w:r>
      <w:r w:rsidR="00453A04">
        <w:rPr>
          <w:rFonts w:ascii="Swiss 721" w:hAnsi="Swiss 721"/>
        </w:rPr>
        <w:t xml:space="preserve"> </w:t>
      </w:r>
      <w:r w:rsidRPr="00D300F1">
        <w:rPr>
          <w:rFonts w:ascii="Swiss 721" w:hAnsi="Swiss 721"/>
        </w:rPr>
        <w:t>-oskus.</w:t>
      </w:r>
      <w:r>
        <w:rPr>
          <w:rFonts w:ascii="Swiss 721" w:hAnsi="Swiss 721"/>
        </w:rPr>
        <w:t xml:space="preserve"> </w:t>
      </w:r>
      <w:r w:rsidRPr="00D300F1">
        <w:rPr>
          <w:rFonts w:ascii="Swiss 721" w:hAnsi="Swiss 721"/>
        </w:rPr>
        <w:t>Koolide juhtimise os</w:t>
      </w:r>
      <w:r w:rsidR="00453A04">
        <w:rPr>
          <w:rFonts w:ascii="Swiss 721" w:hAnsi="Swiss 721"/>
        </w:rPr>
        <w:t>as peab olema suurem kvaliteedi</w:t>
      </w:r>
      <w:r w:rsidRPr="00D300F1">
        <w:rPr>
          <w:rFonts w:ascii="Swiss 721" w:hAnsi="Swiss 721"/>
        </w:rPr>
        <w:t xml:space="preserve">kontroll. </w:t>
      </w:r>
      <w:r w:rsidR="00453A04">
        <w:rPr>
          <w:rFonts w:ascii="Swiss 721" w:hAnsi="Swiss 721"/>
        </w:rPr>
        <w:t>Oleme arvamusel</w:t>
      </w:r>
      <w:r w:rsidRPr="00D300F1">
        <w:rPr>
          <w:rFonts w:ascii="Swiss 721" w:hAnsi="Swiss 721"/>
        </w:rPr>
        <w:t xml:space="preserve">, et </w:t>
      </w:r>
      <w:r w:rsidR="00453A04" w:rsidRPr="00D300F1">
        <w:rPr>
          <w:rFonts w:ascii="Swiss 721" w:hAnsi="Swiss 721"/>
        </w:rPr>
        <w:t>teatud regul</w:t>
      </w:r>
      <w:r w:rsidR="00453A04">
        <w:rPr>
          <w:rFonts w:ascii="Swiss 721" w:hAnsi="Swiss 721"/>
        </w:rPr>
        <w:t xml:space="preserve">aarsusega </w:t>
      </w:r>
      <w:r w:rsidRPr="00D300F1">
        <w:rPr>
          <w:rFonts w:ascii="Swiss 721" w:hAnsi="Swiss 721"/>
        </w:rPr>
        <w:t xml:space="preserve">peaks </w:t>
      </w:r>
      <w:r w:rsidR="00453A04">
        <w:rPr>
          <w:rFonts w:ascii="Swiss 721" w:hAnsi="Swiss 721"/>
        </w:rPr>
        <w:t>toimuma</w:t>
      </w:r>
      <w:r w:rsidRPr="00D300F1">
        <w:rPr>
          <w:rFonts w:ascii="Swiss 721" w:hAnsi="Swiss 721"/>
        </w:rPr>
        <w:t xml:space="preserve"> </w:t>
      </w:r>
      <w:r w:rsidR="00453A04">
        <w:rPr>
          <w:rFonts w:ascii="Swiss 721" w:hAnsi="Swiss 721"/>
        </w:rPr>
        <w:t>(nt 5a) koolijuhi ate</w:t>
      </w:r>
      <w:r w:rsidRPr="00D300F1">
        <w:rPr>
          <w:rFonts w:ascii="Swiss 721" w:hAnsi="Swiss 721"/>
        </w:rPr>
        <w:t xml:space="preserve">steerimine, millelel järgneb analüüs ja vajadusel </w:t>
      </w:r>
      <w:r w:rsidR="00453A04">
        <w:rPr>
          <w:rFonts w:ascii="Swiss 721" w:hAnsi="Swiss 721"/>
        </w:rPr>
        <w:t>suunamine arengut toetavatele koolitustele jms</w:t>
      </w:r>
      <w:r w:rsidRPr="00D300F1">
        <w:rPr>
          <w:rFonts w:ascii="Swiss 721" w:hAnsi="Swiss 721"/>
        </w:rPr>
        <w:t>. Riigigümnaasiumite juhtimise kvaliteeti ja juhtide arendamist võiks võtta eeskujuks.</w:t>
      </w:r>
    </w:p>
    <w:p w:rsidR="00D300F1" w:rsidRPr="000D448D" w:rsidRDefault="00D300F1" w:rsidP="000D448D">
      <w:pPr>
        <w:pStyle w:val="ListParagraph"/>
        <w:numPr>
          <w:ilvl w:val="0"/>
          <w:numId w:val="2"/>
        </w:numPr>
        <w:spacing w:before="60" w:after="60" w:line="240" w:lineRule="auto"/>
        <w:ind w:left="360"/>
        <w:rPr>
          <w:rFonts w:ascii="Swiss 721" w:hAnsi="Swiss 721"/>
        </w:rPr>
      </w:pPr>
      <w:r w:rsidRPr="000D448D">
        <w:rPr>
          <w:rFonts w:ascii="Swiss 721" w:hAnsi="Swiss 721"/>
        </w:rPr>
        <w:t>Karjäärivõimaluste puudumine</w:t>
      </w:r>
      <w:r w:rsidR="000D448D" w:rsidRPr="000D448D">
        <w:rPr>
          <w:rFonts w:ascii="Swiss 721" w:hAnsi="Swiss 721"/>
        </w:rPr>
        <w:t xml:space="preserve">. </w:t>
      </w:r>
      <w:r w:rsidRPr="000D448D">
        <w:rPr>
          <w:rFonts w:ascii="Swiss 721" w:hAnsi="Swiss 721"/>
        </w:rPr>
        <w:t>Eestis puudub õpetajatel karjääriredel. Noor õpetaja tuleb kooli ja hakkab saama riigi</w:t>
      </w:r>
      <w:r w:rsidR="000D448D" w:rsidRPr="000D448D">
        <w:rPr>
          <w:rFonts w:ascii="Swiss 721" w:hAnsi="Swiss 721"/>
        </w:rPr>
        <w:t>s</w:t>
      </w:r>
      <w:r w:rsidRPr="000D448D">
        <w:rPr>
          <w:rFonts w:ascii="Swiss 721" w:hAnsi="Swiss 721"/>
        </w:rPr>
        <w:t xml:space="preserve"> kehtestatud töötasu</w:t>
      </w:r>
      <w:r w:rsidR="000D448D" w:rsidRPr="000D448D">
        <w:rPr>
          <w:rFonts w:ascii="Swiss 721" w:hAnsi="Swiss 721"/>
        </w:rPr>
        <w:t xml:space="preserve"> alammäära</w:t>
      </w:r>
      <w:r w:rsidRPr="000D448D">
        <w:rPr>
          <w:rFonts w:ascii="Swiss 721" w:hAnsi="Swiss 721"/>
        </w:rPr>
        <w:t>. Ükskõik kui palju ta end arendab ja oma kvalifikatsiooni tõstab jne, siis tema palk jääb ikkagi kuni tema tööaja lõpuni riiklikuks miinimumiks. See pole noortele motiveeriv.</w:t>
      </w:r>
      <w:r w:rsidR="000D448D" w:rsidRPr="000D448D">
        <w:rPr>
          <w:rFonts w:ascii="Swiss 721" w:hAnsi="Swiss 721"/>
        </w:rPr>
        <w:t xml:space="preserve"> </w:t>
      </w:r>
      <w:r w:rsidR="000D448D">
        <w:rPr>
          <w:rFonts w:ascii="Swiss 721" w:hAnsi="Swiss 721"/>
        </w:rPr>
        <w:t>Eestis</w:t>
      </w:r>
      <w:r w:rsidRPr="000D448D">
        <w:rPr>
          <w:rFonts w:ascii="Swiss 721" w:hAnsi="Swiss 721"/>
        </w:rPr>
        <w:t xml:space="preserve"> </w:t>
      </w:r>
      <w:r w:rsidR="000D448D">
        <w:rPr>
          <w:rFonts w:ascii="Swiss 721" w:hAnsi="Swiss 721"/>
        </w:rPr>
        <w:t>kehtis</w:t>
      </w:r>
      <w:r w:rsidRPr="000D448D">
        <w:rPr>
          <w:rFonts w:ascii="Swiss 721" w:hAnsi="Swiss 721"/>
        </w:rPr>
        <w:t xml:space="preserve"> 2014</w:t>
      </w:r>
      <w:r w:rsidR="000D448D">
        <w:rPr>
          <w:rFonts w:ascii="Swiss 721" w:hAnsi="Swiss 721"/>
        </w:rPr>
        <w:t>.</w:t>
      </w:r>
      <w:r w:rsidRPr="000D448D">
        <w:rPr>
          <w:rFonts w:ascii="Swiss 721" w:hAnsi="Swiss 721"/>
        </w:rPr>
        <w:t xml:space="preserve"> </w:t>
      </w:r>
      <w:r w:rsidRPr="000D448D">
        <w:rPr>
          <w:rFonts w:ascii="Swiss 721" w:hAnsi="Swiss 721"/>
        </w:rPr>
        <w:lastRenderedPageBreak/>
        <w:t>aastani süsteem, kus oli toimiv õpetaja karjäärimud</w:t>
      </w:r>
      <w:r w:rsidR="000D448D">
        <w:rPr>
          <w:rFonts w:ascii="Swiss 721" w:hAnsi="Swiss 721"/>
        </w:rPr>
        <w:t>el. Selle alusel oli meil ca 25</w:t>
      </w:r>
      <w:r w:rsidRPr="000D448D">
        <w:rPr>
          <w:rFonts w:ascii="Swiss 721" w:hAnsi="Swiss 721"/>
        </w:rPr>
        <w:t>% vanemõpetajaid ning alla 5% õpetaja-metoodikuid. See oli õpetajatele motiveeriv, sest kõrgema järguga oli garanteeritud ka suu</w:t>
      </w:r>
      <w:r w:rsidR="000D448D">
        <w:rPr>
          <w:rFonts w:ascii="Swiss 721" w:hAnsi="Swiss 721"/>
        </w:rPr>
        <w:t xml:space="preserve">rem töötasu. </w:t>
      </w:r>
      <w:r w:rsidR="000D448D" w:rsidRPr="007802EB">
        <w:rPr>
          <w:rFonts w:ascii="Swiss 721" w:hAnsi="Swiss 721"/>
          <w:b/>
        </w:rPr>
        <w:t>Lähiajal peame loo</w:t>
      </w:r>
      <w:r w:rsidRPr="007802EB">
        <w:rPr>
          <w:rFonts w:ascii="Swiss 721" w:hAnsi="Swiss 721"/>
          <w:b/>
        </w:rPr>
        <w:t>m</w:t>
      </w:r>
      <w:r w:rsidR="000D448D" w:rsidRPr="007802EB">
        <w:rPr>
          <w:rFonts w:ascii="Swiss 721" w:hAnsi="Swiss 721"/>
          <w:b/>
        </w:rPr>
        <w:t>a</w:t>
      </w:r>
      <w:r w:rsidRPr="007802EB">
        <w:rPr>
          <w:rFonts w:ascii="Swiss 721" w:hAnsi="Swiss 721"/>
          <w:b/>
        </w:rPr>
        <w:t xml:space="preserve"> õpetaja karjäärimudeli ja leidma ka selle toetamiseks </w:t>
      </w:r>
      <w:r w:rsidR="000D448D" w:rsidRPr="007802EB">
        <w:rPr>
          <w:rFonts w:ascii="Swiss 721" w:hAnsi="Swiss 721"/>
          <w:b/>
        </w:rPr>
        <w:t>vahendeid</w:t>
      </w:r>
      <w:r w:rsidRPr="000D448D">
        <w:rPr>
          <w:rFonts w:ascii="Swiss 721" w:hAnsi="Swiss 721"/>
        </w:rPr>
        <w:t>.</w:t>
      </w:r>
    </w:p>
    <w:p w:rsid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</w:p>
    <w:p w:rsidR="000D448D" w:rsidRPr="00D300F1" w:rsidRDefault="000D448D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</w:p>
    <w:p w:rsidR="00D300F1" w:rsidRPr="00202BFC" w:rsidRDefault="00202BFC" w:rsidP="003C27B2">
      <w:pPr>
        <w:pStyle w:val="ListParagraph"/>
        <w:numPr>
          <w:ilvl w:val="0"/>
          <w:numId w:val="1"/>
        </w:numPr>
        <w:spacing w:before="60" w:after="60" w:line="240" w:lineRule="auto"/>
        <w:ind w:left="360"/>
        <w:rPr>
          <w:rFonts w:ascii="Swiss 721" w:hAnsi="Swiss 721"/>
          <w:b/>
        </w:rPr>
      </w:pPr>
      <w:r>
        <w:rPr>
          <w:rFonts w:ascii="Swiss 721" w:hAnsi="Swiss 721"/>
          <w:b/>
        </w:rPr>
        <w:t>Õ</w:t>
      </w:r>
      <w:r w:rsidR="00D300F1" w:rsidRPr="00202BFC">
        <w:rPr>
          <w:rFonts w:ascii="Swiss 721" w:hAnsi="Swiss 721"/>
          <w:b/>
        </w:rPr>
        <w:t>petaja ameti v</w:t>
      </w:r>
      <w:r w:rsidR="000D448D" w:rsidRPr="00202BFC">
        <w:rPr>
          <w:rFonts w:ascii="Swiss 721" w:hAnsi="Swiss 721"/>
          <w:b/>
        </w:rPr>
        <w:t>äärtustamine kõigil tasanditel</w:t>
      </w:r>
    </w:p>
    <w:p w:rsidR="000D448D" w:rsidRPr="000D448D" w:rsidRDefault="000D448D" w:rsidP="000D448D">
      <w:pPr>
        <w:spacing w:before="60" w:line="240" w:lineRule="auto"/>
      </w:pPr>
    </w:p>
    <w:p w:rsidR="000D448D" w:rsidRPr="00D300F1" w:rsidRDefault="00D300F1" w:rsidP="003C27B2">
      <w:pPr>
        <w:pStyle w:val="ListParagraph"/>
        <w:spacing w:before="60" w:after="60" w:line="240" w:lineRule="auto"/>
        <w:ind w:left="0"/>
        <w:rPr>
          <w:rFonts w:ascii="Swiss 721" w:hAnsi="Swiss 721"/>
        </w:rPr>
      </w:pPr>
      <w:r w:rsidRPr="00D300F1">
        <w:rPr>
          <w:rFonts w:ascii="Swiss 721" w:hAnsi="Swiss 721"/>
        </w:rPr>
        <w:t>On oluine, et nii tööandjad (KOV, ministeerium) kui ka tööandjate esindajad, st direktorid, väärtustaksid õpetajat ning ka ühiskondlik ja</w:t>
      </w:r>
      <w:r w:rsidR="000D448D">
        <w:rPr>
          <w:rFonts w:ascii="Swiss 721" w:hAnsi="Swiss 721"/>
        </w:rPr>
        <w:t xml:space="preserve"> lapsevanemate-</w:t>
      </w:r>
      <w:r w:rsidRPr="00D300F1">
        <w:rPr>
          <w:rFonts w:ascii="Swiss 721" w:hAnsi="Swiss 721"/>
        </w:rPr>
        <w:t>poolne suhtumine oleks õpet</w:t>
      </w:r>
      <w:r w:rsidR="000D448D">
        <w:rPr>
          <w:rFonts w:ascii="Swiss 721" w:hAnsi="Swiss 721"/>
        </w:rPr>
        <w:t xml:space="preserve">ajat väärtustav. </w:t>
      </w:r>
      <w:r w:rsidR="000D448D" w:rsidRPr="007802EB">
        <w:rPr>
          <w:rFonts w:ascii="Swiss 721" w:hAnsi="Swiss 721"/>
          <w:b/>
        </w:rPr>
        <w:t xml:space="preserve">Ühiskondlikku </w:t>
      </w:r>
      <w:r w:rsidRPr="007802EB">
        <w:rPr>
          <w:rFonts w:ascii="Swiss 721" w:hAnsi="Swiss 721"/>
          <w:b/>
        </w:rPr>
        <w:t>suhtumist saavad muuta eelkõige just koolipidajad ja koolide juhtkonnad</w:t>
      </w:r>
      <w:r w:rsidRPr="00D300F1">
        <w:rPr>
          <w:rFonts w:ascii="Swiss 721" w:hAnsi="Swiss 721"/>
        </w:rPr>
        <w:t>. Seda tuleb teha kiiresti ja resoluutselt, kui me so</w:t>
      </w:r>
      <w:r w:rsidR="000D448D">
        <w:rPr>
          <w:rFonts w:ascii="Swiss 721" w:hAnsi="Swiss 721"/>
        </w:rPr>
        <w:t>ovime, et noored tuleksid kooli</w:t>
      </w:r>
      <w:r w:rsidRPr="00D300F1">
        <w:rPr>
          <w:rFonts w:ascii="Swiss 721" w:hAnsi="Swiss 721"/>
        </w:rPr>
        <w:t xml:space="preserve"> ja </w:t>
      </w:r>
      <w:r w:rsidR="000D448D" w:rsidRPr="00D300F1">
        <w:rPr>
          <w:rFonts w:ascii="Swiss 721" w:hAnsi="Swiss 721"/>
        </w:rPr>
        <w:t>lapsev</w:t>
      </w:r>
      <w:r w:rsidR="000D448D">
        <w:rPr>
          <w:rFonts w:ascii="Swiss 721" w:hAnsi="Swiss 721"/>
        </w:rPr>
        <w:t xml:space="preserve">anemad </w:t>
      </w:r>
      <w:r w:rsidR="007802EB">
        <w:rPr>
          <w:rFonts w:ascii="Swiss 721" w:hAnsi="Swiss 721"/>
        </w:rPr>
        <w:t xml:space="preserve">õpetajate töösse aina rohkem sekkuksid. </w:t>
      </w:r>
    </w:p>
    <w:sectPr w:rsidR="000D448D" w:rsidRPr="00D300F1" w:rsidSect="00D300F1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12" w:rsidRDefault="00706112" w:rsidP="00B16591">
      <w:pPr>
        <w:spacing w:after="0" w:line="240" w:lineRule="auto"/>
      </w:pPr>
      <w:r>
        <w:separator/>
      </w:r>
    </w:p>
  </w:endnote>
  <w:endnote w:type="continuationSeparator" w:id="0">
    <w:p w:rsidR="00706112" w:rsidRDefault="00706112" w:rsidP="00B1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s 721 Light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91" w:rsidRPr="00122F61" w:rsidRDefault="00B16591" w:rsidP="00B16591">
    <w:pPr>
      <w:pStyle w:val="Header"/>
      <w:jc w:val="center"/>
      <w:rPr>
        <w:rFonts w:ascii="Swiss 721 Light" w:hAnsi="Swiss 721 Light" w:cstheme="majorHAnsi"/>
        <w:sz w:val="20"/>
        <w:szCs w:val="20"/>
      </w:rPr>
    </w:pPr>
  </w:p>
  <w:p w:rsidR="00B16591" w:rsidRPr="00122F61" w:rsidRDefault="00B16591" w:rsidP="00A13ACD">
    <w:pPr>
      <w:pStyle w:val="Footer"/>
      <w:pBdr>
        <w:bottom w:val="single" w:sz="12" w:space="1" w:color="auto"/>
      </w:pBdr>
      <w:tabs>
        <w:tab w:val="clear" w:pos="9026"/>
        <w:tab w:val="right" w:pos="9072"/>
      </w:tabs>
      <w:spacing w:before="60"/>
      <w:ind w:right="-46"/>
      <w:rPr>
        <w:sz w:val="20"/>
        <w:szCs w:val="20"/>
      </w:rPr>
    </w:pPr>
    <w:r w:rsidRPr="00122F61">
      <w:rPr>
        <w:sz w:val="20"/>
        <w:szCs w:val="20"/>
      </w:rPr>
      <w:t>Eesti Haridustöötajate Liit    Masina 22, 10144, Tallinn    ehl.org.ee</w:t>
    </w:r>
  </w:p>
  <w:p w:rsidR="00B16591" w:rsidRPr="00B16591" w:rsidRDefault="00B16591" w:rsidP="00A13ACD">
    <w:pPr>
      <w:pStyle w:val="Footer"/>
      <w:tabs>
        <w:tab w:val="clear" w:pos="9026"/>
        <w:tab w:val="right" w:pos="9072"/>
      </w:tabs>
      <w:spacing w:before="60"/>
      <w:ind w:right="-46"/>
      <w:rPr>
        <w:sz w:val="20"/>
        <w:szCs w:val="20"/>
      </w:rPr>
    </w:pPr>
    <w:r w:rsidRPr="00122F61">
      <w:rPr>
        <w:sz w:val="20"/>
        <w:szCs w:val="20"/>
      </w:rPr>
      <w:t>Registrikood: 80091904  a/a nr. (IBAN) EE091010022009923004 (AS SEB pank)  SWIFT: EEUHEE2X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F1" w:rsidRPr="00122F61" w:rsidRDefault="00D300F1" w:rsidP="00D300F1">
    <w:pPr>
      <w:pStyle w:val="Header"/>
      <w:jc w:val="center"/>
      <w:rPr>
        <w:rFonts w:ascii="Swiss 721 Light" w:hAnsi="Swiss 721 Light" w:cstheme="majorHAnsi"/>
        <w:sz w:val="20"/>
        <w:szCs w:val="20"/>
      </w:rPr>
    </w:pPr>
    <w:r w:rsidRPr="00122F61">
      <w:rPr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68BA6F1C" wp14:editId="53457B09">
          <wp:simplePos x="0" y="0"/>
          <wp:positionH relativeFrom="margin">
            <wp:align>right</wp:align>
          </wp:positionH>
          <wp:positionV relativeFrom="paragraph">
            <wp:posOffset>-1062990</wp:posOffset>
          </wp:positionV>
          <wp:extent cx="1169670" cy="11887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0F1" w:rsidRPr="00122F61" w:rsidRDefault="00D300F1" w:rsidP="00D300F1">
    <w:pPr>
      <w:pStyle w:val="Footer"/>
      <w:pBdr>
        <w:bottom w:val="single" w:sz="12" w:space="1" w:color="auto"/>
      </w:pBdr>
      <w:tabs>
        <w:tab w:val="clear" w:pos="9026"/>
        <w:tab w:val="right" w:pos="9072"/>
      </w:tabs>
      <w:spacing w:before="60"/>
      <w:ind w:right="-46"/>
      <w:rPr>
        <w:sz w:val="20"/>
        <w:szCs w:val="20"/>
      </w:rPr>
    </w:pPr>
    <w:r w:rsidRPr="00122F61">
      <w:rPr>
        <w:sz w:val="20"/>
        <w:szCs w:val="20"/>
      </w:rPr>
      <w:t>Eesti Haridustöötajate Liit    Masina 22, 10144, Tallinn    ehl.org.ee</w:t>
    </w:r>
  </w:p>
  <w:p w:rsidR="00D300F1" w:rsidRPr="00B16591" w:rsidRDefault="00D300F1" w:rsidP="00D300F1">
    <w:pPr>
      <w:pStyle w:val="Footer"/>
      <w:tabs>
        <w:tab w:val="clear" w:pos="9026"/>
        <w:tab w:val="right" w:pos="9072"/>
      </w:tabs>
      <w:spacing w:before="60"/>
      <w:ind w:right="-46"/>
      <w:rPr>
        <w:sz w:val="20"/>
        <w:szCs w:val="20"/>
      </w:rPr>
    </w:pPr>
    <w:r w:rsidRPr="00122F61">
      <w:rPr>
        <w:sz w:val="20"/>
        <w:szCs w:val="20"/>
      </w:rPr>
      <w:t>Registrikood: 80091904  a/a nr. (IBAN) EE091010022009923004 (AS SEB pank)  SWIFT: EEUHEE2X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12" w:rsidRDefault="00706112" w:rsidP="00B16591">
      <w:pPr>
        <w:spacing w:after="0" w:line="240" w:lineRule="auto"/>
      </w:pPr>
      <w:r>
        <w:separator/>
      </w:r>
    </w:p>
  </w:footnote>
  <w:footnote w:type="continuationSeparator" w:id="0">
    <w:p w:rsidR="00706112" w:rsidRDefault="00706112" w:rsidP="00B16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180A"/>
    <w:multiLevelType w:val="hybridMultilevel"/>
    <w:tmpl w:val="B5F875C6"/>
    <w:lvl w:ilvl="0" w:tplc="E2D22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04DDE"/>
    <w:multiLevelType w:val="hybridMultilevel"/>
    <w:tmpl w:val="21B692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F1"/>
    <w:rsid w:val="000D448D"/>
    <w:rsid w:val="00202BFC"/>
    <w:rsid w:val="00254B89"/>
    <w:rsid w:val="003C27B2"/>
    <w:rsid w:val="003E7A11"/>
    <w:rsid w:val="003F7BF2"/>
    <w:rsid w:val="00453A04"/>
    <w:rsid w:val="00706112"/>
    <w:rsid w:val="007802EB"/>
    <w:rsid w:val="0087437C"/>
    <w:rsid w:val="009D1122"/>
    <w:rsid w:val="00A13ACD"/>
    <w:rsid w:val="00A31496"/>
    <w:rsid w:val="00A80A69"/>
    <w:rsid w:val="00B16591"/>
    <w:rsid w:val="00B92EEE"/>
    <w:rsid w:val="00D3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8309"/>
  <w15:chartTrackingRefBased/>
  <w15:docId w15:val="{25DA31FA-5DD3-4DBE-B2D2-54AE32A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F2"/>
    <w:pPr>
      <w:spacing w:after="60"/>
    </w:pPr>
    <w:rPr>
      <w:rFonts w:ascii="Swiss 721" w:hAnsi="Swiss 7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91"/>
    <w:rPr>
      <w:rFonts w:ascii="Swiss 721" w:hAnsi="Swiss 721"/>
    </w:rPr>
  </w:style>
  <w:style w:type="paragraph" w:styleId="Footer">
    <w:name w:val="footer"/>
    <w:basedOn w:val="Normal"/>
    <w:link w:val="FooterChar"/>
    <w:uiPriority w:val="99"/>
    <w:unhideWhenUsed/>
    <w:rsid w:val="00B16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91"/>
    <w:rPr>
      <w:rFonts w:ascii="Swiss 721" w:hAnsi="Swiss 721"/>
    </w:rPr>
  </w:style>
  <w:style w:type="paragraph" w:styleId="ListParagraph">
    <w:name w:val="List Paragraph"/>
    <w:basedOn w:val="Normal"/>
    <w:uiPriority w:val="34"/>
    <w:qFormat/>
    <w:rsid w:val="00D300F1"/>
    <w:pPr>
      <w:spacing w:after="160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emo\Downloads\eb4b5444f1c1458593844d1a40783fb8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Vanuseline jaotus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4914260717410336E-2"/>
          <c:y val="0.15319444444444447"/>
          <c:w val="0.90286351706036749"/>
          <c:h val="0.648147783610382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eb4b5444f1c1458593844d1a40783fb8.xls]Sheet1!$E$2:$E$5,[eb4b5444f1c1458593844d1a40783fb8.xls]Sheet1!$E$11:$E$14,[eb4b5444f1c1458593844d1a40783fb8.xls]Sheet1!$E$20:$E$23,[eb4b5444f1c1458593844d1a40783fb8.xls]Sheet1!$E$29:$E$32,[eb4b5444f1c1458593844d1a40783fb8.xls]Sheet1!$E$38:$E$41</c:f>
              <c:strCache>
                <c:ptCount val="20"/>
                <c:pt idx="0">
                  <c:v>19/20</c:v>
                </c:pt>
                <c:pt idx="1">
                  <c:v>kuni 39</c:v>
                </c:pt>
                <c:pt idx="2">
                  <c:v>40-49</c:v>
                </c:pt>
                <c:pt idx="3">
                  <c:v>50+</c:v>
                </c:pt>
                <c:pt idx="4">
                  <c:v>18/19</c:v>
                </c:pt>
                <c:pt idx="5">
                  <c:v>kuni 39</c:v>
                </c:pt>
                <c:pt idx="6">
                  <c:v>40-49</c:v>
                </c:pt>
                <c:pt idx="7">
                  <c:v>50+</c:v>
                </c:pt>
                <c:pt idx="8">
                  <c:v>17/18</c:v>
                </c:pt>
                <c:pt idx="9">
                  <c:v>kuni 39</c:v>
                </c:pt>
                <c:pt idx="10">
                  <c:v>40-49</c:v>
                </c:pt>
                <c:pt idx="11">
                  <c:v>50+</c:v>
                </c:pt>
                <c:pt idx="12">
                  <c:v>16/17</c:v>
                </c:pt>
                <c:pt idx="13">
                  <c:v>kuni 39</c:v>
                </c:pt>
                <c:pt idx="14">
                  <c:v>40-49</c:v>
                </c:pt>
                <c:pt idx="15">
                  <c:v>50+</c:v>
                </c:pt>
                <c:pt idx="16">
                  <c:v>15/16</c:v>
                </c:pt>
                <c:pt idx="17">
                  <c:v>kuni 39</c:v>
                </c:pt>
                <c:pt idx="18">
                  <c:v>40-49</c:v>
                </c:pt>
                <c:pt idx="19">
                  <c:v>50+</c:v>
                </c:pt>
              </c:strCache>
            </c:strRef>
          </c:cat>
          <c:val>
            <c:numRef>
              <c:f>[eb4b5444f1c1458593844d1a40783fb8.xls]Sheet1!$F$2:$F$5,[eb4b5444f1c1458593844d1a40783fb8.xls]Sheet1!$F$11:$F$14,[eb4b5444f1c1458593844d1a40783fb8.xls]Sheet1!$F$20:$F$23,[eb4b5444f1c1458593844d1a40783fb8.xls]Sheet1!$F$29:$F$32,[eb4b5444f1c1458593844d1a40783fb8.xls]Sheet1!$F$38:$F$41</c:f>
              <c:numCache>
                <c:formatCode>#,##0</c:formatCode>
                <c:ptCount val="20"/>
                <c:pt idx="1">
                  <c:v>26.566938079909107</c:v>
                </c:pt>
                <c:pt idx="2">
                  <c:v>23.65082370763113</c:v>
                </c:pt>
                <c:pt idx="3">
                  <c:v>49.78223821245976</c:v>
                </c:pt>
                <c:pt idx="5">
                  <c:v>26.011487723284731</c:v>
                </c:pt>
                <c:pt idx="6">
                  <c:v>23.600328220665279</c:v>
                </c:pt>
                <c:pt idx="7">
                  <c:v>48.002272296913461</c:v>
                </c:pt>
                <c:pt idx="9">
                  <c:v>24.742788613267688</c:v>
                </c:pt>
                <c:pt idx="10">
                  <c:v>23.638199835889669</c:v>
                </c:pt>
                <c:pt idx="11">
                  <c:v>45.698415704096448</c:v>
                </c:pt>
                <c:pt idx="13">
                  <c:v>24.3451366534116</c:v>
                </c:pt>
                <c:pt idx="14">
                  <c:v>23.65713564350186</c:v>
                </c:pt>
                <c:pt idx="15">
                  <c:v>44.032064634223318</c:v>
                </c:pt>
                <c:pt idx="17">
                  <c:v>24.414567947989649</c:v>
                </c:pt>
                <c:pt idx="18">
                  <c:v>23.821245976140879</c:v>
                </c:pt>
                <c:pt idx="19">
                  <c:v>42.712870037240421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DC-4922-84F9-97EFBDEB2F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9383024"/>
        <c:axId val="489383680"/>
      </c:barChart>
      <c:catAx>
        <c:axId val="4893830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t-EE"/>
                  <a:t>Õppeaast</a:t>
                </a:r>
                <a:r>
                  <a:rPr lang="et-EE" baseline="0"/>
                  <a:t> ja õpetajate</a:t>
                </a:r>
                <a:r>
                  <a:rPr lang="et-EE"/>
                  <a:t> vanusegrupid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383680"/>
        <c:crosses val="autoZero"/>
        <c:auto val="1"/>
        <c:lblAlgn val="ctr"/>
        <c:lblOffset val="100"/>
        <c:noMultiLvlLbl val="0"/>
      </c:catAx>
      <c:valAx>
        <c:axId val="48938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t-EE" sz="1600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436615984482491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38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B735-90FE-4F7A-9A4B-F8C45492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Heldi Ruiso</cp:lastModifiedBy>
  <cp:revision>4</cp:revision>
  <dcterms:created xsi:type="dcterms:W3CDTF">2020-12-17T10:31:00Z</dcterms:created>
  <dcterms:modified xsi:type="dcterms:W3CDTF">2020-12-17T10:39:00Z</dcterms:modified>
</cp:coreProperties>
</file>